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>РОССИЙСКАЯ ФЕДЕРАЦИЯ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>РЕСПУБЛИКА АДЫГЕЯ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>Администрация муниципального образования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>«Вочепшийское сельское поселение»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ПОСТАНОВЛЕНИЕ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</w:t>
      </w:r>
      <w:r w:rsidR="009245B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26.12.2019</w:t>
      </w:r>
      <w:r w:rsidRPr="00410BD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г. №</w:t>
      </w:r>
      <w:r w:rsidR="009245B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26</w:t>
      </w:r>
    </w:p>
    <w:p w:rsidR="00410BD6" w:rsidRPr="00410BD6" w:rsidRDefault="00410BD6" w:rsidP="00410BD6">
      <w:pPr>
        <w:widowControl w:val="0"/>
        <w:tabs>
          <w:tab w:val="left" w:pos="1456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а.Вочепший</w:t>
      </w:r>
    </w:p>
    <w:p w:rsidR="00F34A3A" w:rsidRPr="007E1601" w:rsidRDefault="00F34A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D1B98" w:rsidRPr="00410BD6" w:rsidRDefault="009245B1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 муниципального имущества муниципального образования</w:t>
      </w:r>
      <w:r w:rsidRPr="009245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6EF0" w:rsidRPr="007E1601" w:rsidRDefault="00DC6EF0">
      <w:pPr>
        <w:spacing w:after="1"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3AB2" w:rsidRDefault="009245B1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92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«Вочепшийское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ельское поселение»,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Уставом  муниципально</w:t>
      </w:r>
      <w:r w:rsidR="00F32B9B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«Вочепшийское сельское поселение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1B9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410BD6" w:rsidRDefault="00410BD6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BD6" w:rsidRPr="00410BD6" w:rsidRDefault="00410BD6" w:rsidP="00410BD6">
      <w:pPr>
        <w:widowControl w:val="0"/>
        <w:autoSpaceDE w:val="0"/>
        <w:autoSpaceDN w:val="0"/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410BD6" w:rsidRPr="007E1601" w:rsidRDefault="00410BD6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BD6" w:rsidRDefault="00410BD6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601" w:rsidRPr="00410BD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45B1" w:rsidRPr="00924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924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</w:t>
      </w:r>
      <w:r w:rsidR="009245B1" w:rsidRPr="00924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9245B1" w:rsidRDefault="009245B1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</w:t>
      </w:r>
      <w:r w:rsidRPr="009245B1">
        <w:rPr>
          <w:rFonts w:ascii="Times New Roman" w:hAnsi="Times New Roman" w:cs="Times New Roman"/>
          <w:sz w:val="24"/>
          <w:szCs w:val="24"/>
        </w:rPr>
        <w:t>орму Пер</w:t>
      </w:r>
      <w:r>
        <w:rPr>
          <w:rFonts w:ascii="Times New Roman" w:hAnsi="Times New Roman" w:cs="Times New Roman"/>
          <w:sz w:val="24"/>
          <w:szCs w:val="24"/>
        </w:rPr>
        <w:t>ечня муниципального имущества муниципального образования</w:t>
      </w:r>
      <w:r w:rsidRPr="009245B1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 «Интернет»</w:t>
      </w:r>
      <w:r>
        <w:rPr>
          <w:rFonts w:ascii="Times New Roman" w:hAnsi="Times New Roman" w:cs="Times New Roman"/>
          <w:sz w:val="24"/>
          <w:szCs w:val="24"/>
        </w:rPr>
        <w:t>, согласно приложению №2.</w:t>
      </w:r>
    </w:p>
    <w:p w:rsidR="009245B1" w:rsidRDefault="009245B1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в</w:t>
      </w:r>
      <w:r w:rsidRPr="009245B1">
        <w:rPr>
          <w:rFonts w:ascii="Times New Roman" w:hAnsi="Times New Roman" w:cs="Times New Roman"/>
          <w:sz w:val="24"/>
          <w:szCs w:val="24"/>
        </w:rPr>
        <w:t>иды муниципального имущества, которое используется для формирования пер</w:t>
      </w:r>
      <w:r>
        <w:rPr>
          <w:rFonts w:ascii="Times New Roman" w:hAnsi="Times New Roman" w:cs="Times New Roman"/>
          <w:sz w:val="24"/>
          <w:szCs w:val="24"/>
        </w:rPr>
        <w:t>ечня муниципального имущества муниципального образования</w:t>
      </w:r>
      <w:r w:rsidRPr="009245B1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№3.</w:t>
      </w:r>
    </w:p>
    <w:p w:rsidR="009245B1" w:rsidRDefault="009245B1" w:rsidP="009245B1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администрацию муниципального образования</w:t>
      </w:r>
      <w:r w:rsidRPr="009245B1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уполномоченным органом по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245B1">
        <w:rPr>
          <w:rFonts w:ascii="Times New Roman" w:hAnsi="Times New Roman" w:cs="Times New Roman"/>
          <w:sz w:val="24"/>
          <w:szCs w:val="24"/>
        </w:rPr>
        <w:t>ормированию, ведению, а также опубликованию перечня муниципального имущества МО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5B1" w:rsidRDefault="009245B1" w:rsidP="009245B1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144F">
        <w:rPr>
          <w:rFonts w:ascii="Times New Roman" w:hAnsi="Times New Roman" w:cs="Times New Roman"/>
          <w:sz w:val="24"/>
          <w:szCs w:val="24"/>
        </w:rPr>
        <w:t>Определить администрацию муниципального образования</w:t>
      </w:r>
      <w:r w:rsidR="00D4144F" w:rsidRPr="009245B1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уполномоченным органом по</w:t>
      </w:r>
      <w:r w:rsidR="00D4144F" w:rsidRPr="00D4144F">
        <w:t xml:space="preserve"> </w:t>
      </w:r>
      <w:r w:rsidR="00D4144F">
        <w:rPr>
          <w:rFonts w:ascii="Times New Roman" w:hAnsi="Times New Roman" w:cs="Times New Roman"/>
          <w:sz w:val="24"/>
          <w:szCs w:val="24"/>
        </w:rPr>
        <w:t>в</w:t>
      </w:r>
      <w:r w:rsidR="00D4144F" w:rsidRPr="00D4144F">
        <w:rPr>
          <w:rFonts w:ascii="Times New Roman" w:hAnsi="Times New Roman" w:cs="Times New Roman"/>
          <w:sz w:val="24"/>
          <w:szCs w:val="24"/>
        </w:rPr>
        <w:t>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</w:t>
      </w:r>
      <w:r w:rsidR="00D4144F">
        <w:rPr>
          <w:rFonts w:ascii="Times New Roman" w:hAnsi="Times New Roman" w:cs="Times New Roman"/>
          <w:sz w:val="24"/>
          <w:szCs w:val="24"/>
        </w:rPr>
        <w:t>.</w:t>
      </w:r>
    </w:p>
    <w:p w:rsidR="00410BD6" w:rsidRPr="00410BD6" w:rsidRDefault="00D4144F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10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0BD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10BD6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7E1601" w:rsidRPr="00410BD6">
        <w:rPr>
          <w:rFonts w:ascii="Times New Roman" w:hAnsi="Times New Roman" w:cs="Times New Roman"/>
          <w:sz w:val="24"/>
          <w:szCs w:val="24"/>
        </w:rPr>
        <w:t xml:space="preserve"> на официа</w:t>
      </w:r>
      <w:r w:rsidR="00F32B9B" w:rsidRPr="00410BD6">
        <w:rPr>
          <w:rFonts w:ascii="Times New Roman" w:hAnsi="Times New Roman" w:cs="Times New Roman"/>
          <w:sz w:val="24"/>
          <w:szCs w:val="24"/>
        </w:rPr>
        <w:t xml:space="preserve">льном сайте </w:t>
      </w:r>
      <w:r w:rsidR="00410B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32B9B" w:rsidRPr="00410BD6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</w:t>
      </w:r>
      <w:r w:rsidR="007E1601" w:rsidRPr="00410BD6">
        <w:rPr>
          <w:rFonts w:ascii="Times New Roman" w:hAnsi="Times New Roman" w:cs="Times New Roman"/>
          <w:sz w:val="24"/>
          <w:szCs w:val="24"/>
        </w:rPr>
        <w:t>»</w:t>
      </w:r>
      <w:r w:rsidR="00410BD6">
        <w:rPr>
          <w:rFonts w:ascii="Times New Roman" w:hAnsi="Times New Roman" w:cs="Times New Roman"/>
          <w:sz w:val="24"/>
          <w:szCs w:val="24"/>
        </w:rPr>
        <w:t xml:space="preserve"> </w:t>
      </w:r>
      <w:r w:rsidR="00410BD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10BD6">
        <w:rPr>
          <w:rFonts w:ascii="Times New Roman" w:hAnsi="Times New Roman" w:cs="Times New Roman"/>
          <w:sz w:val="24"/>
          <w:szCs w:val="24"/>
        </w:rPr>
        <w:t>:</w:t>
      </w:r>
      <w:r w:rsidR="00410BD6" w:rsidRPr="00410BD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605C41" w:rsidRPr="00410BD6">
        <w:rPr>
          <w:rFonts w:ascii="Times New Roman" w:hAnsi="Times New Roman" w:cs="Times New Roman"/>
          <w:sz w:val="24"/>
          <w:szCs w:val="24"/>
        </w:rPr>
        <w:t>вочепший</w:t>
      </w:r>
      <w:r w:rsidR="007E1601" w:rsidRPr="00410BD6">
        <w:rPr>
          <w:rFonts w:ascii="Times New Roman" w:hAnsi="Times New Roman" w:cs="Times New Roman"/>
          <w:sz w:val="24"/>
          <w:szCs w:val="24"/>
        </w:rPr>
        <w:t>.</w:t>
      </w:r>
      <w:r w:rsidR="00605C41" w:rsidRPr="00410BD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9245B1">
        <w:rPr>
          <w:rFonts w:ascii="Times New Roman" w:hAnsi="Times New Roman" w:cs="Times New Roman"/>
          <w:sz w:val="24"/>
          <w:szCs w:val="24"/>
        </w:rPr>
        <w:t>.</w:t>
      </w:r>
    </w:p>
    <w:p w:rsidR="00410BD6" w:rsidRDefault="00D4144F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1601" w:rsidRPr="00410B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1601" w:rsidRPr="00410B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</w:t>
      </w:r>
      <w:r w:rsidR="00F32B9B" w:rsidRPr="00410BD6">
        <w:rPr>
          <w:rFonts w:ascii="Times New Roman" w:hAnsi="Times New Roman" w:cs="Times New Roman"/>
          <w:sz w:val="24"/>
          <w:szCs w:val="24"/>
        </w:rPr>
        <w:t xml:space="preserve">ь на </w:t>
      </w:r>
      <w:r w:rsidR="009245B1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7E1601" w:rsidRPr="00410BD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</w:t>
      </w:r>
      <w:r w:rsidR="00F32B9B" w:rsidRPr="00410BD6">
        <w:rPr>
          <w:rFonts w:ascii="Times New Roman" w:hAnsi="Times New Roman" w:cs="Times New Roman"/>
          <w:sz w:val="24"/>
          <w:szCs w:val="24"/>
        </w:rPr>
        <w:t>го образования «Вочепшийское сельское поселение</w:t>
      </w:r>
      <w:r w:rsidR="007E1601" w:rsidRPr="00410BD6">
        <w:rPr>
          <w:rFonts w:ascii="Times New Roman" w:hAnsi="Times New Roman" w:cs="Times New Roman"/>
          <w:sz w:val="24"/>
          <w:szCs w:val="24"/>
        </w:rPr>
        <w:t>»</w:t>
      </w:r>
      <w:r w:rsidR="0092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B1">
        <w:rPr>
          <w:rFonts w:ascii="Times New Roman" w:hAnsi="Times New Roman" w:cs="Times New Roman"/>
          <w:sz w:val="24"/>
          <w:szCs w:val="24"/>
        </w:rPr>
        <w:t>Тхазфеша</w:t>
      </w:r>
      <w:proofErr w:type="spellEnd"/>
      <w:r w:rsidR="009245B1">
        <w:rPr>
          <w:rFonts w:ascii="Times New Roman" w:hAnsi="Times New Roman" w:cs="Times New Roman"/>
          <w:sz w:val="24"/>
          <w:szCs w:val="24"/>
        </w:rPr>
        <w:t xml:space="preserve"> А.В.</w:t>
      </w:r>
      <w:r w:rsidR="007E1601" w:rsidRPr="00410BD6">
        <w:rPr>
          <w:rFonts w:ascii="Times New Roman" w:hAnsi="Times New Roman" w:cs="Times New Roman"/>
          <w:sz w:val="24"/>
          <w:szCs w:val="24"/>
        </w:rPr>
        <w:t>.</w:t>
      </w:r>
    </w:p>
    <w:p w:rsidR="002F68F1" w:rsidRPr="00410BD6" w:rsidRDefault="00D4144F" w:rsidP="00410BD6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BD6">
        <w:rPr>
          <w:rFonts w:ascii="Times New Roman" w:hAnsi="Times New Roman" w:cs="Times New Roman"/>
          <w:sz w:val="24"/>
          <w:szCs w:val="24"/>
        </w:rPr>
        <w:t xml:space="preserve">. </w:t>
      </w:r>
      <w:r w:rsidR="007E1601" w:rsidRPr="00410BD6">
        <w:rPr>
          <w:rFonts w:ascii="Times New Roman" w:hAnsi="Times New Roman" w:cs="Times New Roman"/>
          <w:sz w:val="24"/>
          <w:szCs w:val="24"/>
        </w:rPr>
        <w:t>П</w:t>
      </w:r>
      <w:r w:rsidR="002F68F1" w:rsidRPr="00410BD6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подписания.</w:t>
      </w:r>
    </w:p>
    <w:p w:rsidR="002F68F1" w:rsidRDefault="002F68F1" w:rsidP="00B94CED">
      <w:pPr>
        <w:rPr>
          <w:rFonts w:ascii="Times New Roman" w:hAnsi="Times New Roman" w:cs="Times New Roman"/>
          <w:sz w:val="24"/>
          <w:szCs w:val="24"/>
        </w:rPr>
      </w:pPr>
    </w:p>
    <w:p w:rsidR="00410BD6" w:rsidRPr="00410BD6" w:rsidRDefault="00410BD6" w:rsidP="00410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Глава Вочепшийского сельского поселения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</w:t>
      </w:r>
      <w:r w:rsidRPr="00410BD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А.М. Пшедаток</w:t>
      </w:r>
    </w:p>
    <w:p w:rsidR="00410BD6" w:rsidRPr="00410BD6" w:rsidRDefault="00410BD6" w:rsidP="00410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</w:t>
      </w:r>
      <w:r w:rsidRPr="00410BD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</w:t>
      </w:r>
    </w:p>
    <w:p w:rsidR="00410BD6" w:rsidRPr="00410BD6" w:rsidRDefault="00410BD6" w:rsidP="00410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внесен:</w:t>
      </w:r>
    </w:p>
    <w:p w:rsidR="00410BD6" w:rsidRDefault="00410BD6" w:rsidP="00410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410BD6" w:rsidRPr="007E1601" w:rsidRDefault="00410BD6" w:rsidP="00410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имущественным отношениям</w:t>
      </w:r>
      <w:r w:rsidRPr="007E1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</w:p>
    <w:p w:rsidR="00410BD6" w:rsidRPr="00410BD6" w:rsidRDefault="00410BD6" w:rsidP="00410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10BD6" w:rsidRPr="00410BD6" w:rsidRDefault="00410BD6" w:rsidP="00410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Согласовано:</w:t>
      </w:r>
    </w:p>
    <w:p w:rsidR="00D173A0" w:rsidRDefault="00410BD6" w:rsidP="00345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Заместитель главы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А.В. </w:t>
      </w:r>
      <w:proofErr w:type="spellStart"/>
      <w:r w:rsidRPr="00410B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Тхазфеш</w:t>
      </w:r>
      <w:proofErr w:type="spellEnd"/>
      <w:r w:rsidR="00D173A0" w:rsidRPr="007E1601">
        <w:rPr>
          <w:rFonts w:ascii="Times New Roman" w:hAnsi="Times New Roman" w:cs="Times New Roman"/>
          <w:sz w:val="24"/>
          <w:szCs w:val="24"/>
        </w:rPr>
        <w:br w:type="page"/>
      </w:r>
      <w:r w:rsidR="00D4144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144F" w:rsidRDefault="00D4144F" w:rsidP="00D41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144F" w:rsidRPr="00D4144F" w:rsidRDefault="00D4144F" w:rsidP="00D4144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4F">
        <w:rPr>
          <w:rFonts w:ascii="Times New Roman" w:hAnsi="Times New Roman" w:cs="Times New Roman"/>
          <w:b/>
          <w:sz w:val="24"/>
          <w:szCs w:val="24"/>
        </w:rPr>
        <w:t>формирования, ведения, ежегодного дополнения и опубликования перечня муниципального имущества МО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4144F" w:rsidRPr="00D4144F" w:rsidRDefault="00D4144F" w:rsidP="00D4144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144F" w:rsidRPr="00D4144F" w:rsidRDefault="00D4144F" w:rsidP="00D4144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4F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В Перечне содержатся сведения о м</w:t>
      </w:r>
      <w:r>
        <w:rPr>
          <w:rFonts w:ascii="Times New Roman" w:hAnsi="Times New Roman" w:cs="Times New Roman"/>
          <w:sz w:val="24"/>
          <w:szCs w:val="24"/>
        </w:rPr>
        <w:t>униципальном имуществе 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во владение и (или) в пользование на долгосрочной основе (в том числе </w:t>
      </w:r>
      <w:proofErr w:type="spellStart"/>
      <w:r w:rsidRPr="00D4144F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D4144F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lastRenderedPageBreak/>
        <w:t xml:space="preserve">2.2.3. Реализации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Вочепшийское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оказания имущественной поддержки субъектам малого и среднего предпринимательства.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2.3.2. Открытость и доступность сведений об имуществе в Перечне.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</w:t>
      </w:r>
      <w:r>
        <w:rPr>
          <w:rFonts w:ascii="Times New Roman" w:hAnsi="Times New Roman" w:cs="Times New Roman"/>
          <w:sz w:val="24"/>
          <w:szCs w:val="24"/>
        </w:rPr>
        <w:t>аседаний коллегиального органа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Pr="00D4144F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D4144F">
        <w:rPr>
          <w:rFonts w:ascii="Times New Roman" w:hAnsi="Times New Roman" w:cs="Times New Roman"/>
          <w:sz w:val="24"/>
          <w:szCs w:val="24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4F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предназначенного для передачи во владение и (или) в пользование социально ориентированным некоммерческим организациям.</w:t>
      </w:r>
      <w:proofErr w:type="gramEnd"/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3.3.6. Имущество не признано аварийным и подлежащим сносу.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lastRenderedPageBreak/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3.3.11.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по его инициативе или на основании предложений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Вочепшийское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сельское поселение», коллегиального органа 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по обеспечению взаимодействия исполнительных органов власти Республики Адыгея с территориальным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Pr="00D4144F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D4144F">
        <w:rPr>
          <w:rFonts w:ascii="Times New Roman" w:hAnsi="Times New Roman" w:cs="Times New Roman"/>
          <w:sz w:val="24"/>
          <w:szCs w:val="24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поселение», уполномоченной на согласование сделок с имуществом балансодержателя.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Pr="00D4144F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3.10. Сведения о муниципальном имуществе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подлежат исключению из Перечня в следующих случаях: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«Теучежский район».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3.10.2. Право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на имущество прекращено по решению суда или в ином установленном законом порядке.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Имущество приобретено его арендатором в собственность в соответствии с Федеральным законом от 22.07.2008 г. </w:t>
      </w:r>
      <w:r>
        <w:rPr>
          <w:rFonts w:ascii="Times New Roman" w:hAnsi="Times New Roman" w:cs="Times New Roman"/>
          <w:sz w:val="24"/>
          <w:szCs w:val="24"/>
        </w:rPr>
        <w:t>№ 159-ФЗ «</w:t>
      </w:r>
      <w:r w:rsidRPr="00D4144F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D4144F"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 и 9 пункта 2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статьи 39.3 Земельного кодекса Российской Федерации.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lastRenderedPageBreak/>
        <w:t xml:space="preserve">3.12. Уполномоченный орган уведомляет арендатора о намерении принять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4F">
        <w:rPr>
          <w:rFonts w:ascii="Times New Roman" w:hAnsi="Times New Roman" w:cs="Times New Roman"/>
          <w:b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D4144F" w:rsidRP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4144F" w:rsidRDefault="00D4144F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 xml:space="preserve"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44F">
        <w:rPr>
          <w:rFonts w:ascii="Times New Roman" w:hAnsi="Times New Roman" w:cs="Times New Roman"/>
          <w:sz w:val="24"/>
          <w:szCs w:val="24"/>
        </w:rPr>
        <w:t xml:space="preserve">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345448" w:rsidRDefault="00345448" w:rsidP="00C12C4B">
      <w:pPr>
        <w:pStyle w:val="af3"/>
        <w:jc w:val="both"/>
        <w:rPr>
          <w:rFonts w:ascii="Times New Roman" w:hAnsi="Times New Roman" w:cs="Times New Roman"/>
          <w:sz w:val="24"/>
          <w:szCs w:val="24"/>
        </w:rPr>
        <w:sectPr w:rsidR="00345448" w:rsidSect="00410BD6">
          <w:headerReference w:type="default" r:id="rId9"/>
          <w:footerReference w:type="default" r:id="rId10"/>
          <w:pgSz w:w="11906" w:h="16838"/>
          <w:pgMar w:top="851" w:right="849" w:bottom="426" w:left="1418" w:header="708" w:footer="708" w:gutter="0"/>
          <w:pgNumType w:start="1"/>
          <w:cols w:space="708"/>
          <w:titlePg/>
          <w:docGrid w:linePitch="360"/>
        </w:sectPr>
      </w:pPr>
    </w:p>
    <w:p w:rsidR="00345448" w:rsidRPr="00345448" w:rsidRDefault="00345448" w:rsidP="00C12C4B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34544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45448" w:rsidRDefault="00345448" w:rsidP="0034544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345448" w:rsidRDefault="00345448" w:rsidP="0034544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48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5448" w:rsidRPr="00345448" w:rsidRDefault="00345448" w:rsidP="00345448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56"/>
        <w:gridCol w:w="3214"/>
        <w:gridCol w:w="2126"/>
        <w:gridCol w:w="1920"/>
      </w:tblGrid>
      <w:tr w:rsidR="00345448" w:rsidRPr="002839CF" w:rsidTr="00C12C4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N</w:t>
            </w:r>
            <w:r w:rsidRPr="002839CF">
              <w:rPr>
                <w:sz w:val="20"/>
                <w:szCs w:val="20"/>
              </w:rPr>
              <w:br/>
            </w:r>
            <w:proofErr w:type="gramStart"/>
            <w:r w:rsidRPr="002839CF">
              <w:rPr>
                <w:sz w:val="20"/>
                <w:szCs w:val="20"/>
              </w:rPr>
              <w:t>п</w:t>
            </w:r>
            <w:proofErr w:type="gramEnd"/>
            <w:r w:rsidRPr="002839CF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345448" w:rsidRPr="002839CF" w:rsidTr="00C12C4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345448" w:rsidRPr="002839CF" w:rsidTr="00C12C4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proofErr w:type="gramStart"/>
            <w:r w:rsidRPr="002839CF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proofErr w:type="gramStart"/>
            <w:r w:rsidRPr="002839CF">
              <w:rPr>
                <w:sz w:val="20"/>
                <w:szCs w:val="20"/>
              </w:rPr>
              <w:t>Единица измерения (для площади - кв. м.; для протяженности - м; для глубины залегания - м; для объема - куб. м.)</w:t>
            </w:r>
            <w:proofErr w:type="gramEnd"/>
          </w:p>
        </w:tc>
      </w:tr>
      <w:tr w:rsidR="00345448" w:rsidRPr="002839CF" w:rsidTr="00C12C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7</w:t>
            </w:r>
          </w:p>
        </w:tc>
      </w:tr>
      <w:tr w:rsidR="00C12C4B" w:rsidRPr="002839CF" w:rsidTr="00C12C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31726F">
              <w:rPr>
                <w:rFonts w:ascii="Times New Roman" w:hAnsi="Times New Roman"/>
                <w:sz w:val="20"/>
                <w:szCs w:val="20"/>
              </w:rPr>
              <w:t>Республика Адыгея, Теучежский район,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Вочепший,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офис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45448" w:rsidRPr="002839CF" w:rsidRDefault="00345448" w:rsidP="00345448">
      <w:pPr>
        <w:rPr>
          <w:sz w:val="20"/>
          <w:szCs w:val="20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134"/>
        <w:gridCol w:w="1559"/>
        <w:gridCol w:w="1984"/>
        <w:gridCol w:w="1134"/>
        <w:gridCol w:w="959"/>
        <w:gridCol w:w="2487"/>
      </w:tblGrid>
      <w:tr w:rsidR="00345448" w:rsidRPr="002839CF" w:rsidTr="00C12C4B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345448" w:rsidRPr="002839CF" w:rsidTr="00C12C4B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</w:tr>
      <w:tr w:rsidR="00C12C4B" w:rsidRPr="002839CF" w:rsidTr="00C12C4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Состав (принадлежности) имущества</w:t>
            </w:r>
          </w:p>
        </w:tc>
      </w:tr>
      <w:tr w:rsidR="00C12C4B" w:rsidRPr="002839CF" w:rsidTr="00C12C4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16</w:t>
            </w:r>
          </w:p>
        </w:tc>
      </w:tr>
      <w:tr w:rsidR="00C12C4B" w:rsidRPr="002839CF" w:rsidTr="00C12C4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570907">
              <w:rPr>
                <w:rFonts w:ascii="Times New Roman" w:hAnsi="Times New Roman"/>
                <w:sz w:val="20"/>
                <w:szCs w:val="20"/>
              </w:rPr>
              <w:t>01:06:0300012:10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5448" w:rsidRPr="002839CF" w:rsidRDefault="00345448" w:rsidP="0034544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345448" w:rsidRPr="002839CF" w:rsidTr="00776BCE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Сведения о правообладателях и правах третьих лиц на имущество</w:t>
            </w:r>
          </w:p>
        </w:tc>
      </w:tr>
      <w:tr w:rsidR="00345448" w:rsidRPr="002839CF" w:rsidTr="00776BCE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Адрес электронной почты</w:t>
            </w:r>
          </w:p>
        </w:tc>
      </w:tr>
      <w:tr w:rsidR="00345448" w:rsidRPr="002839CF" w:rsidTr="00776BCE"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rPr>
                <w:sz w:val="20"/>
                <w:szCs w:val="20"/>
              </w:rPr>
            </w:pPr>
          </w:p>
        </w:tc>
      </w:tr>
      <w:tr w:rsidR="00345448" w:rsidRPr="002839CF" w:rsidTr="00776BCE"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48" w:rsidRPr="002839CF" w:rsidRDefault="00345448" w:rsidP="00776BCE">
            <w:pPr>
              <w:pStyle w:val="af6"/>
              <w:jc w:val="center"/>
              <w:rPr>
                <w:sz w:val="20"/>
                <w:szCs w:val="20"/>
              </w:rPr>
            </w:pPr>
            <w:r w:rsidRPr="002839CF">
              <w:rPr>
                <w:sz w:val="20"/>
                <w:szCs w:val="20"/>
              </w:rPr>
              <w:t>23</w:t>
            </w:r>
          </w:p>
        </w:tc>
      </w:tr>
      <w:tr w:rsidR="00C12C4B" w:rsidRPr="002839CF" w:rsidTr="00776BCE"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4B" w:rsidRPr="002839CF" w:rsidRDefault="00C12C4B" w:rsidP="00776BC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345448" w:rsidRDefault="00345448" w:rsidP="00D4144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45448" w:rsidSect="00C12C4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345448" w:rsidRDefault="00345448" w:rsidP="00345448">
      <w:pPr>
        <w:pStyle w:val="af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45448" w:rsidRDefault="00345448" w:rsidP="00345448">
      <w:pPr>
        <w:pStyle w:val="af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5448" w:rsidRPr="00345448" w:rsidRDefault="00345448" w:rsidP="00345448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48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345448" w:rsidRPr="00345448" w:rsidRDefault="00345448" w:rsidP="00345448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48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5448">
        <w:rPr>
          <w:rFonts w:ascii="Times New Roman" w:hAnsi="Times New Roman" w:cs="Times New Roman"/>
          <w:b/>
          <w:sz w:val="24"/>
          <w:szCs w:val="24"/>
        </w:rPr>
        <w:t xml:space="preserve"> «Вочепшийское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345448" w:rsidRPr="00345448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448" w:rsidRPr="00345448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448" w:rsidRPr="00345448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48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rFonts w:ascii="Times New Roman" w:hAnsi="Times New Roman" w:cs="Times New Roman"/>
          <w:sz w:val="24"/>
          <w:szCs w:val="24"/>
        </w:rPr>
        <w:t>ужбы которых превышает пять лет.</w:t>
      </w:r>
    </w:p>
    <w:p w:rsidR="00345448" w:rsidRPr="00345448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48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rFonts w:ascii="Times New Roman" w:hAnsi="Times New Roman" w:cs="Times New Roman"/>
          <w:sz w:val="24"/>
          <w:szCs w:val="24"/>
        </w:rPr>
        <w:t>там транспортной инфраструктуры.</w:t>
      </w:r>
    </w:p>
    <w:p w:rsidR="00345448" w:rsidRPr="00345448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48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</w:t>
      </w:r>
      <w:r>
        <w:rPr>
          <w:rFonts w:ascii="Times New Roman" w:hAnsi="Times New Roman" w:cs="Times New Roman"/>
          <w:sz w:val="24"/>
          <w:szCs w:val="24"/>
        </w:rPr>
        <w:t>го составляет не менее пяти лет.</w:t>
      </w:r>
    </w:p>
    <w:p w:rsidR="00345448" w:rsidRPr="00D4144F" w:rsidRDefault="00345448" w:rsidP="00345448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48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34544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345448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45448">
        <w:rPr>
          <w:rFonts w:ascii="Times New Roman" w:hAnsi="Times New Roman" w:cs="Times New Roman"/>
          <w:sz w:val="24"/>
          <w:szCs w:val="24"/>
        </w:rPr>
        <w:t xml:space="preserve"> «Вочепшийское сельское поселение» в соответствии с п. 2 статьи 3.3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25 октября 2001 г. №</w:t>
      </w:r>
      <w:r w:rsidRPr="00345448">
        <w:rPr>
          <w:rFonts w:ascii="Times New Roman" w:hAnsi="Times New Roman" w:cs="Times New Roman"/>
          <w:sz w:val="24"/>
          <w:szCs w:val="24"/>
        </w:rPr>
        <w:t xml:space="preserve"> 137-ФЗ «О введении в действие Земельного кодекса Российской Федерации».</w:t>
      </w:r>
    </w:p>
    <w:sectPr w:rsidR="00345448" w:rsidRPr="00D4144F" w:rsidSect="0034544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42" w:rsidRDefault="00CC6042" w:rsidP="00A34D4F">
      <w:pPr>
        <w:spacing w:after="0" w:line="240" w:lineRule="auto"/>
      </w:pPr>
      <w:r>
        <w:separator/>
      </w:r>
    </w:p>
  </w:endnote>
  <w:endnote w:type="continuationSeparator" w:id="0">
    <w:p w:rsidR="00CC6042" w:rsidRDefault="00CC6042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42" w:rsidRDefault="00CC6042" w:rsidP="00A34D4F">
      <w:pPr>
        <w:spacing w:after="0" w:line="240" w:lineRule="auto"/>
      </w:pPr>
      <w:r>
        <w:separator/>
      </w:r>
    </w:p>
  </w:footnote>
  <w:footnote w:type="continuationSeparator" w:id="0">
    <w:p w:rsidR="00CC6042" w:rsidRDefault="00CC6042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a6"/>
      <w:jc w:val="center"/>
    </w:pPr>
  </w:p>
  <w:p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52C7B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61C4A"/>
    <w:rsid w:val="00162E81"/>
    <w:rsid w:val="001806D5"/>
    <w:rsid w:val="00180D20"/>
    <w:rsid w:val="00185D02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2740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2F68F1"/>
    <w:rsid w:val="003051FB"/>
    <w:rsid w:val="0030529F"/>
    <w:rsid w:val="00311053"/>
    <w:rsid w:val="003175E5"/>
    <w:rsid w:val="00322442"/>
    <w:rsid w:val="0032608E"/>
    <w:rsid w:val="00345448"/>
    <w:rsid w:val="003500F9"/>
    <w:rsid w:val="003540B3"/>
    <w:rsid w:val="00362BC2"/>
    <w:rsid w:val="00365E03"/>
    <w:rsid w:val="003765FB"/>
    <w:rsid w:val="003A0C06"/>
    <w:rsid w:val="003A35E9"/>
    <w:rsid w:val="003A64B2"/>
    <w:rsid w:val="003B0017"/>
    <w:rsid w:val="003B33AE"/>
    <w:rsid w:val="003D1B98"/>
    <w:rsid w:val="003D5405"/>
    <w:rsid w:val="003E1268"/>
    <w:rsid w:val="003E68A9"/>
    <w:rsid w:val="003E6A08"/>
    <w:rsid w:val="003F087C"/>
    <w:rsid w:val="003F3DCF"/>
    <w:rsid w:val="00403FF6"/>
    <w:rsid w:val="00404D50"/>
    <w:rsid w:val="00410BD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0546"/>
    <w:rsid w:val="004C2352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605C41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6F44F9"/>
    <w:rsid w:val="00714E24"/>
    <w:rsid w:val="007221AA"/>
    <w:rsid w:val="007352E5"/>
    <w:rsid w:val="00736982"/>
    <w:rsid w:val="0073744C"/>
    <w:rsid w:val="007509CF"/>
    <w:rsid w:val="00757A35"/>
    <w:rsid w:val="00780082"/>
    <w:rsid w:val="00792A2E"/>
    <w:rsid w:val="007A0AFA"/>
    <w:rsid w:val="007A485B"/>
    <w:rsid w:val="007A6964"/>
    <w:rsid w:val="007B01CD"/>
    <w:rsid w:val="007B46D7"/>
    <w:rsid w:val="007D12F4"/>
    <w:rsid w:val="007E1601"/>
    <w:rsid w:val="007E1B12"/>
    <w:rsid w:val="007E7A87"/>
    <w:rsid w:val="00804135"/>
    <w:rsid w:val="00810EDD"/>
    <w:rsid w:val="0082575B"/>
    <w:rsid w:val="00827D9B"/>
    <w:rsid w:val="0083513C"/>
    <w:rsid w:val="00835495"/>
    <w:rsid w:val="00853AB2"/>
    <w:rsid w:val="00853DBF"/>
    <w:rsid w:val="008562DB"/>
    <w:rsid w:val="00864DC6"/>
    <w:rsid w:val="008679DB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E3821"/>
    <w:rsid w:val="008F0E3B"/>
    <w:rsid w:val="009037F1"/>
    <w:rsid w:val="009040B1"/>
    <w:rsid w:val="0090572B"/>
    <w:rsid w:val="00912180"/>
    <w:rsid w:val="009245B1"/>
    <w:rsid w:val="0093192B"/>
    <w:rsid w:val="00963AFC"/>
    <w:rsid w:val="00973839"/>
    <w:rsid w:val="00981446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CD1"/>
    <w:rsid w:val="009E5EA2"/>
    <w:rsid w:val="009F2CC5"/>
    <w:rsid w:val="009F4A36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4CE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2C4B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13AE"/>
    <w:rsid w:val="00C96E20"/>
    <w:rsid w:val="00CA120D"/>
    <w:rsid w:val="00CA2B9C"/>
    <w:rsid w:val="00CB00ED"/>
    <w:rsid w:val="00CB3296"/>
    <w:rsid w:val="00CB3AF9"/>
    <w:rsid w:val="00CC4A76"/>
    <w:rsid w:val="00CC6042"/>
    <w:rsid w:val="00CC7CE2"/>
    <w:rsid w:val="00CD0182"/>
    <w:rsid w:val="00CD794A"/>
    <w:rsid w:val="00CE4A50"/>
    <w:rsid w:val="00D04764"/>
    <w:rsid w:val="00D173A0"/>
    <w:rsid w:val="00D41116"/>
    <w:rsid w:val="00D4144F"/>
    <w:rsid w:val="00D63DDA"/>
    <w:rsid w:val="00D94993"/>
    <w:rsid w:val="00D94C96"/>
    <w:rsid w:val="00DA498D"/>
    <w:rsid w:val="00DB7AF7"/>
    <w:rsid w:val="00DC5DFD"/>
    <w:rsid w:val="00DC6EF0"/>
    <w:rsid w:val="00DD4BD8"/>
    <w:rsid w:val="00DE1BF7"/>
    <w:rsid w:val="00DF2B56"/>
    <w:rsid w:val="00DF62CC"/>
    <w:rsid w:val="00E00C82"/>
    <w:rsid w:val="00E1500D"/>
    <w:rsid w:val="00E27571"/>
    <w:rsid w:val="00E30574"/>
    <w:rsid w:val="00E43F66"/>
    <w:rsid w:val="00E466C3"/>
    <w:rsid w:val="00E47AF2"/>
    <w:rsid w:val="00E60AC2"/>
    <w:rsid w:val="00E6246A"/>
    <w:rsid w:val="00E6519D"/>
    <w:rsid w:val="00E76568"/>
    <w:rsid w:val="00E801BA"/>
    <w:rsid w:val="00E872D2"/>
    <w:rsid w:val="00E960F6"/>
    <w:rsid w:val="00EA03EF"/>
    <w:rsid w:val="00EA05DA"/>
    <w:rsid w:val="00EA1C4C"/>
    <w:rsid w:val="00EA747C"/>
    <w:rsid w:val="00EB32F0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2B9B"/>
    <w:rsid w:val="00F34A3A"/>
    <w:rsid w:val="00F40173"/>
    <w:rsid w:val="00F510E7"/>
    <w:rsid w:val="00F573C2"/>
    <w:rsid w:val="00F62DF3"/>
    <w:rsid w:val="00F7336E"/>
    <w:rsid w:val="00F75303"/>
    <w:rsid w:val="00F7761D"/>
    <w:rsid w:val="00FA7DA7"/>
    <w:rsid w:val="00FB0A59"/>
    <w:rsid w:val="00FB4D2D"/>
    <w:rsid w:val="00FC5349"/>
    <w:rsid w:val="00FC5C49"/>
    <w:rsid w:val="00FD3884"/>
    <w:rsid w:val="00FD684C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paragraph" w:styleId="1">
    <w:name w:val="heading 1"/>
    <w:basedOn w:val="a"/>
    <w:next w:val="a"/>
    <w:link w:val="10"/>
    <w:uiPriority w:val="9"/>
    <w:qFormat/>
    <w:rsid w:val="00D41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51FB"/>
    <w:pPr>
      <w:widowControl w:val="0"/>
      <w:autoSpaceDE w:val="0"/>
      <w:autoSpaceDN w:val="0"/>
      <w:spacing w:after="0" w:line="240" w:lineRule="auto"/>
      <w:ind w:left="1377" w:right="4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No Spacing"/>
    <w:uiPriority w:val="1"/>
    <w:qFormat/>
    <w:rsid w:val="00DC6EF0"/>
    <w:pPr>
      <w:spacing w:after="0" w:line="240" w:lineRule="auto"/>
    </w:pPr>
  </w:style>
  <w:style w:type="paragraph" w:customStyle="1" w:styleId="s1">
    <w:name w:val="s_1"/>
    <w:basedOn w:val="a"/>
    <w:rsid w:val="007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7E16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51F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414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5">
    <w:name w:val="Цветовое выделение"/>
    <w:uiPriority w:val="99"/>
    <w:rsid w:val="00345448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45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paragraph" w:styleId="1">
    <w:name w:val="heading 1"/>
    <w:basedOn w:val="a"/>
    <w:next w:val="a"/>
    <w:link w:val="10"/>
    <w:uiPriority w:val="9"/>
    <w:qFormat/>
    <w:rsid w:val="00D41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51FB"/>
    <w:pPr>
      <w:widowControl w:val="0"/>
      <w:autoSpaceDE w:val="0"/>
      <w:autoSpaceDN w:val="0"/>
      <w:spacing w:after="0" w:line="240" w:lineRule="auto"/>
      <w:ind w:left="1377" w:right="4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No Spacing"/>
    <w:uiPriority w:val="1"/>
    <w:qFormat/>
    <w:rsid w:val="00DC6EF0"/>
    <w:pPr>
      <w:spacing w:after="0" w:line="240" w:lineRule="auto"/>
    </w:pPr>
  </w:style>
  <w:style w:type="paragraph" w:customStyle="1" w:styleId="s1">
    <w:name w:val="s_1"/>
    <w:basedOn w:val="a"/>
    <w:rsid w:val="007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7E16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51F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414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5">
    <w:name w:val="Цветовое выделение"/>
    <w:uiPriority w:val="99"/>
    <w:rsid w:val="00345448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45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3802-A712-4133-A31B-031BFE6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Фатима</cp:lastModifiedBy>
  <cp:revision>3</cp:revision>
  <cp:lastPrinted>2019-09-10T08:44:00Z</cp:lastPrinted>
  <dcterms:created xsi:type="dcterms:W3CDTF">2020-02-05T07:42:00Z</dcterms:created>
  <dcterms:modified xsi:type="dcterms:W3CDTF">2020-02-05T07:51:00Z</dcterms:modified>
</cp:coreProperties>
</file>